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7" w:rsidRPr="008A2097" w:rsidRDefault="008A2097" w:rsidP="008A2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8A2097">
        <w:rPr>
          <w:rFonts w:ascii="Times New Roman" w:eastAsia="Times New Roman" w:hAnsi="Times New Roman" w:cs="Times New Roman"/>
          <w:b/>
          <w:i/>
          <w:lang w:eastAsia="ru-RU"/>
        </w:rPr>
        <w:t>МУНИЦИПАЛЬНОЕ БЮДЖЕТНОЕ ДОШКОЛЬНОЕ ОБРАЗОВАТЕЛЬНОЕ УЧРЕЖДЕНИЕ   ДЕТСКИЙ САД "ЗОЛОТАЯ РЫБКА"</w:t>
      </w:r>
    </w:p>
    <w:p w:rsidR="008A2097" w:rsidRPr="008A2097" w:rsidRDefault="008A2097" w:rsidP="008A209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i/>
          <w:lang w:eastAsia="ru-RU"/>
        </w:rPr>
        <w:t>МУНИЦИПАЛЬНОГО ОБРАЗОВАНИЯ "КУРИЛЬСКИЙ ГОРОДСКОЙ ОКРУГ</w:t>
      </w:r>
      <w:r w:rsidRPr="008A20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p w:rsidR="008A2097" w:rsidRPr="008A2097" w:rsidRDefault="008A2097" w:rsidP="008A209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>694535 Сахалинская область, Курильский район, с. Рейдово, ул. Мира 9</w:t>
      </w:r>
      <w:proofErr w:type="gramStart"/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A2097" w:rsidRPr="008A2097" w:rsidRDefault="008A2097" w:rsidP="008A2097">
      <w:p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A209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ИНН 6511003669, КПП 651101001, ОГРН 1026501100834 </w:t>
      </w:r>
    </w:p>
    <w:p w:rsidR="008A2097" w:rsidRPr="008A2097" w:rsidRDefault="008A2097" w:rsidP="008A2097">
      <w:p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09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тел.</w:t>
      </w:r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99328, факс: (8 42454) 99-328 </w:t>
      </w:r>
      <w:r w:rsidRPr="008A20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A20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</w:t>
      </w:r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A20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zolotayaribka</w:t>
      </w:r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A20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A20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A20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A2097" w:rsidRPr="008A2097" w:rsidRDefault="008A2097" w:rsidP="008A209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976"/>
      </w:tblGrid>
      <w:tr w:rsidR="008A2097" w:rsidRPr="008A2097" w:rsidTr="00A92732">
        <w:trPr>
          <w:trHeight w:val="193"/>
        </w:trPr>
        <w:tc>
          <w:tcPr>
            <w:tcW w:w="4644" w:type="dxa"/>
            <w:hideMark/>
          </w:tcPr>
          <w:p w:rsidR="008A2097" w:rsidRPr="008A2097" w:rsidRDefault="008A2097" w:rsidP="008A209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5670" w:type="dxa"/>
            <w:gridSpan w:val="2"/>
            <w:hideMark/>
          </w:tcPr>
          <w:p w:rsidR="008A2097" w:rsidRPr="008A2097" w:rsidRDefault="008A2097" w:rsidP="008A209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8A2097" w:rsidRPr="008A2097" w:rsidTr="00A92732">
        <w:trPr>
          <w:trHeight w:val="193"/>
        </w:trPr>
        <w:tc>
          <w:tcPr>
            <w:tcW w:w="4644" w:type="dxa"/>
            <w:hideMark/>
          </w:tcPr>
          <w:p w:rsidR="008A2097" w:rsidRPr="008A2097" w:rsidRDefault="008A2097" w:rsidP="008A209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Общим собранием трудового коллектива</w:t>
            </w:r>
          </w:p>
        </w:tc>
        <w:tc>
          <w:tcPr>
            <w:tcW w:w="5670" w:type="dxa"/>
            <w:gridSpan w:val="2"/>
            <w:hideMark/>
          </w:tcPr>
          <w:p w:rsidR="008A2097" w:rsidRPr="008A2097" w:rsidRDefault="008A2097" w:rsidP="008A209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МБДОУ детский сад «Золотая рыбка»</w:t>
            </w:r>
          </w:p>
        </w:tc>
      </w:tr>
      <w:tr w:rsidR="008A2097" w:rsidRPr="008A2097" w:rsidTr="00A92732">
        <w:trPr>
          <w:trHeight w:val="193"/>
        </w:trPr>
        <w:tc>
          <w:tcPr>
            <w:tcW w:w="4644" w:type="dxa"/>
            <w:vAlign w:val="bottom"/>
            <w:hideMark/>
          </w:tcPr>
          <w:p w:rsidR="008A2097" w:rsidRPr="008A2097" w:rsidRDefault="008A2097" w:rsidP="008A209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детский сад «Золотая рыбка»</w:t>
            </w:r>
          </w:p>
        </w:tc>
        <w:tc>
          <w:tcPr>
            <w:tcW w:w="2694" w:type="dxa"/>
            <w:vAlign w:val="bottom"/>
            <w:hideMark/>
          </w:tcPr>
          <w:p w:rsidR="008A2097" w:rsidRPr="008A2097" w:rsidRDefault="008A2097" w:rsidP="008A209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vAlign w:val="bottom"/>
            <w:hideMark/>
          </w:tcPr>
          <w:p w:rsidR="008A2097" w:rsidRPr="008A2097" w:rsidRDefault="008A2097" w:rsidP="003B178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Гвоздюк </w:t>
            </w:r>
            <w:r w:rsidR="003B17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Ж.В.</w:t>
            </w: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A2097" w:rsidRPr="008A2097" w:rsidTr="00A92732">
        <w:trPr>
          <w:trHeight w:val="193"/>
        </w:trPr>
        <w:tc>
          <w:tcPr>
            <w:tcW w:w="4644" w:type="dxa"/>
            <w:hideMark/>
          </w:tcPr>
          <w:p w:rsidR="008A2097" w:rsidRPr="008A2097" w:rsidRDefault="003B178C" w:rsidP="008A209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hideMark/>
          </w:tcPr>
          <w:p w:rsidR="008A2097" w:rsidRPr="008A2097" w:rsidRDefault="008A2097" w:rsidP="003B178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B17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B17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3B17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 приказ № 173-од</w:t>
            </w:r>
            <w:r w:rsidRPr="008A2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A2097" w:rsidRPr="008A2097" w:rsidRDefault="008A2097" w:rsidP="008A209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антикоррупционной политике</w:t>
      </w:r>
    </w:p>
    <w:p w:rsidR="008A2097" w:rsidRP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 детский сад «Золотая рыбк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97" w:rsidRPr="008A2097" w:rsidRDefault="008A2097" w:rsidP="008A2097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A2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A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«О противодействии коррупции» (далее - Положение) разработано на основе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закона от 25.12.2008 № 273-ФЗ «О противодействии коррупции» (в ред. от 03.12.2012 № 231-ФЗ),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A2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 и (или) ликвидации последствий коррупционных правонарушений в муниципальном бюджетном дошкольном образовательном учреждении  детский сад  «Золотая рыбка»    (далее – ДОУ).</w:t>
      </w:r>
    </w:p>
    <w:p w:rsidR="008A2097" w:rsidRPr="008A2097" w:rsidRDefault="008A2097" w:rsidP="008A2097">
      <w:pPr>
        <w:tabs>
          <w:tab w:val="left" w:pos="709"/>
          <w:tab w:val="left" w:pos="851"/>
          <w:tab w:val="left" w:pos="31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Цели и задачи  </w:t>
      </w: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антикоррупционной политики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</w:t>
      </w:r>
      <w:r w:rsidRPr="008A2097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</w:t>
      </w:r>
      <w:r w:rsidRPr="008A209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антикоррупционной  политики являются: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 Президента РФ от 13.04.2010 № 460 «Об утверждении Национальной стратегии противодействия коррупции», 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 для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нужд",</w:t>
      </w: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 локальные нормативные акты ДОУ.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определение  должностных лиц, ответственных за профилактику коррупционных и иных правонарушений;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сотрудничество учреждения с правоохранительными органами;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принятие кодекса этики и служебного поведения работников учреждения;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Используемые в антикоррупционной политике понятия и определения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A209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2008 г</w:t>
        </w:r>
      </w:smartTag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 273-ФЗ «О противодействии коррупции»).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A209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2008 г</w:t>
        </w:r>
      </w:smartTag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 273-ФЗ «О противодействии коррупции»):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коррупции);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r w:rsidRPr="008A2097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Контрагент</w:t>
      </w:r>
      <w:r w:rsidRPr="008A20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Взятка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3.Основные принципы </w:t>
      </w:r>
      <w:proofErr w:type="gramStart"/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gramEnd"/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деятельности учреждения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Системы мер противодействия коррупции в ДОУ основывается на следующих ключевых принципах: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соответствия политики ДОУ действующему законодательству и общепринятым нормам.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Соответствие реализуемых антикоррупционных</w:t>
      </w: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личного примера руководителя и его заместителей. Ключевая роль руководителя  его заместителей и ответственного за противодействие коррупции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Принцип эффективности  антикоррупционных процедур.     Применение в ДОУ 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ответственности и неотвратимости наказания.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антикоррупционной политики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открытости.   Информирование контрагентов, партнеров и общественности о принятых в ДОУ  антикоррупционных стандартах ведения деятельности.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постоянного контроля и регулярного мониторинга.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Область применения антикоррупционной политики и круг лиц, попадающих под ее действие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антикоррупционной </w:t>
      </w: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политики распространяются  на лица, выполняющие для ДОУ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или предоставляющие услуги на основе гражданско-правовых договоров.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 Определение должностных лиц ДОУ, ответственных за реализацию антикоррупционной  политики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председатель профсоюзного комитета.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Обязанности и полномочия  ответственного  в сфере противодействия коррупции</w:t>
      </w:r>
      <w:r w:rsidRPr="008A209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включают: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8A2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 локальных нормативных актов ДОУ, положений,  планов, направленных на реализацию мер по предупреждению коррупции;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проведение контрольных мероприятий, направленных на выявление коррупционных правонарушений работниками учреждения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организацию проведения оценки коррупционных рисков;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организация заполнения и рассмотрения заявлений о конфликте интересов;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проведение оценки результатов антикоррупционной работы и подготовка соответствующих отчетных материалов Учредителю.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</w:t>
      </w:r>
      <w:proofErr w:type="gramStart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8A20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антикоррупционной политике. </w:t>
      </w:r>
      <w:proofErr w:type="gramStart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условии  соглашения закрепления обязанностей работника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противодействию коррупции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</w:t>
      </w: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связанных с предупреждением и противодействием коррупции </w:t>
      </w:r>
      <w:proofErr w:type="gramEnd"/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Установление перечня реализуемых  ДОУ антикоррупционных мероприятий, стандартов и процедур и  порядок их выполнения (применения)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A2097" w:rsidRPr="008A2097" w:rsidTr="00A92732"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A2097" w:rsidRPr="008A2097" w:rsidTr="00A92732">
        <w:trPr>
          <w:trHeight w:val="3720"/>
        </w:trPr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Нормативное обеспечение, закрепление стандартов поведения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интересов; 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договоры, связанные с хозяйственной деятельностью ДОУ, стандартной антикоррупционной оговорки;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антикоррупционных положений в трудовые договора работников;</w:t>
            </w:r>
          </w:p>
        </w:tc>
      </w:tr>
      <w:tr w:rsidR="008A2097" w:rsidRPr="008A2097" w:rsidTr="00A92732">
        <w:trPr>
          <w:trHeight w:val="5115"/>
        </w:trPr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 и введение специальных антикоррупционных процедур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</w:t>
            </w: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телефона доверия и т. п.);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  <w:proofErr w:type="gramEnd"/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8A2097" w:rsidRPr="008A2097" w:rsidTr="00A92732">
        <w:trPr>
          <w:trHeight w:val="4475"/>
        </w:trPr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 и процедур</w:t>
            </w:r>
          </w:p>
        </w:tc>
      </w:tr>
      <w:tr w:rsidR="008A2097" w:rsidRPr="008A2097" w:rsidTr="00A92732"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</w:t>
            </w: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благотворительные пожертвования, вознаграждения сотрудников;</w:t>
            </w:r>
          </w:p>
        </w:tc>
      </w:tr>
      <w:tr w:rsidR="008A2097" w:rsidRPr="008A2097" w:rsidTr="00A92732"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коррупции;</w:t>
            </w:r>
          </w:p>
          <w:p w:rsidR="008A2097" w:rsidRPr="008A2097" w:rsidRDefault="008A2097" w:rsidP="008A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распространение</w:t>
            </w:r>
            <w:r w:rsidRPr="008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качестве   приложения к антикоррупционной политике в ДОУ ежегодно утверждается план реализации антикоррупционных мероприятий.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коррупционных рисков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основе. 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Порядок проведения оценки коррупционных рисков: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представить деятельность организации в виде отдельных  процессов, в каждом из которых выделить составные элементы;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Разработать комплекс мер по устранению или минимизации коррупционных рисков. 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Ответственность  сотрудников за несоблюдение требований антикоррупционной политики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регулирования и предотвращения конфликта интересов работников в учреждении следует  принять Положение о конфликте интересов.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Ответственными за прием сведений о возникающих (имеющихся) конфликтах интересов  являются заведующий, члены антикоррупционной комиссии. 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внутреннего контроля и аудита учреждения  способствует профилактике и выявлению коррупционных правонарушений в деятельности учреждения,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внутреннего контроля и аудита  учитывает требования антикоррупционной политики, реализуемой учреждением, в том числе через контроль: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проверки соблюдения порядка</w:t>
      </w: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привлечения внебюджетных средств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расходования;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документирования операций </w:t>
      </w:r>
      <w:proofErr w:type="gramStart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хозяйственной</w:t>
      </w:r>
      <w:proofErr w:type="gramEnd"/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учреждения;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Порядок пересмотра и внесения изменений в антикоррупционную политику учреждения   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</w:t>
      </w:r>
      <w:r w:rsidRPr="008A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антикоррупционной политики может осуществляться путем разработки дополнений и приложений к данному акту.</w:t>
      </w: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097" w:rsidRPr="008A2097" w:rsidRDefault="008A2097" w:rsidP="008A2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CC1" w:rsidRDefault="00541CC1"/>
    <w:sectPr w:rsidR="00541CC1" w:rsidSect="00F87ABE">
      <w:footerReference w:type="default" r:id="rId7"/>
      <w:pgSz w:w="11906" w:h="16838"/>
      <w:pgMar w:top="567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61" w:rsidRDefault="00CE2161">
      <w:pPr>
        <w:spacing w:after="0" w:line="240" w:lineRule="auto"/>
      </w:pPr>
      <w:r>
        <w:separator/>
      </w:r>
    </w:p>
  </w:endnote>
  <w:endnote w:type="continuationSeparator" w:id="0">
    <w:p w:rsidR="00CE2161" w:rsidRDefault="00CE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3C" w:rsidRDefault="00CE21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61" w:rsidRDefault="00CE2161">
      <w:pPr>
        <w:spacing w:after="0" w:line="240" w:lineRule="auto"/>
      </w:pPr>
      <w:r>
        <w:separator/>
      </w:r>
    </w:p>
  </w:footnote>
  <w:footnote w:type="continuationSeparator" w:id="0">
    <w:p w:rsidR="00CE2161" w:rsidRDefault="00CE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A"/>
    <w:rsid w:val="002F00DA"/>
    <w:rsid w:val="003B178C"/>
    <w:rsid w:val="00541CC1"/>
    <w:rsid w:val="008A2097"/>
    <w:rsid w:val="00C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A20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A209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A20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A209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2021-01-15T01:20:00Z</cp:lastPrinted>
  <dcterms:created xsi:type="dcterms:W3CDTF">2021-01-14T23:36:00Z</dcterms:created>
  <dcterms:modified xsi:type="dcterms:W3CDTF">2021-01-15T01:20:00Z</dcterms:modified>
</cp:coreProperties>
</file>